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3791423" cy="1376943"/>
            <wp:effectExtent b="0" l="0" r="0" t="0"/>
            <wp:docPr descr="A drawing of hands holding each other&#10;&#10;Description automatically generated" id="1962619496" name="image1.png"/>
            <a:graphic>
              <a:graphicData uri="http://schemas.openxmlformats.org/drawingml/2006/picture">
                <pic:pic>
                  <pic:nvPicPr>
                    <pic:cNvPr descr="A drawing of hands holding each other&#10;&#10;Description automatically generated" id="0" name="image1.png"/>
                    <pic:cNvPicPr preferRelativeResize="0"/>
                  </pic:nvPicPr>
                  <pic:blipFill>
                    <a:blip r:embed="rId8"/>
                    <a:srcRect b="0" l="0" r="0" t="0"/>
                    <a:stretch>
                      <a:fillRect/>
                    </a:stretch>
                  </pic:blipFill>
                  <pic:spPr>
                    <a:xfrm>
                      <a:off x="0" y="0"/>
                      <a:ext cx="3791423" cy="1376943"/>
                    </a:xfrm>
                    <a:prstGeom prst="rect"/>
                    <a:ln/>
                  </pic:spPr>
                </pic:pic>
              </a:graphicData>
            </a:graphic>
          </wp:inline>
        </w:drawing>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Complaints Policy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Table of Contents</w:t>
      </w:r>
      <w:r w:rsidDel="00000000" w:rsidR="00000000" w:rsidRPr="00000000">
        <w:rPr>
          <w:rtl w:val="0"/>
        </w:rPr>
        <w:t xml:space="preserve"> </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6663"/>
        <w:gridCol w:w="1224"/>
        <w:tblGridChange w:id="0">
          <w:tblGrid>
            <w:gridCol w:w="1129"/>
            <w:gridCol w:w="6663"/>
            <w:gridCol w:w="1224"/>
          </w:tblGrid>
        </w:tblGridChange>
      </w:tblGrid>
      <w:tr>
        <w:trPr>
          <w:cantSplit w:val="0"/>
          <w:tblHeader w:val="1"/>
        </w:trPr>
        <w:tc>
          <w:tcPr/>
          <w:p w:rsidR="00000000" w:rsidDel="00000000" w:rsidP="00000000" w:rsidRDefault="00000000" w:rsidRPr="00000000" w14:paraId="00000008">
            <w:pPr>
              <w:rPr/>
            </w:pPr>
            <w:r w:rsidDel="00000000" w:rsidR="00000000" w:rsidRPr="00000000">
              <w:rPr>
                <w:rtl w:val="0"/>
              </w:rPr>
              <w:t xml:space="preserve">Section</w:t>
            </w:r>
          </w:p>
        </w:tc>
        <w:tc>
          <w:tcPr/>
          <w:p w:rsidR="00000000" w:rsidDel="00000000" w:rsidP="00000000" w:rsidRDefault="00000000" w:rsidRPr="00000000" w14:paraId="00000009">
            <w:pPr>
              <w:rPr/>
            </w:pPr>
            <w:r w:rsidDel="00000000" w:rsidR="00000000" w:rsidRPr="00000000">
              <w:rPr>
                <w:rtl w:val="0"/>
              </w:rPr>
              <w:t xml:space="preserve">Title</w:t>
            </w:r>
          </w:p>
        </w:tc>
        <w:tc>
          <w:tcPr/>
          <w:p w:rsidR="00000000" w:rsidDel="00000000" w:rsidP="00000000" w:rsidRDefault="00000000" w:rsidRPr="00000000" w14:paraId="0000000A">
            <w:pPr>
              <w:rPr/>
            </w:pPr>
            <w:r w:rsidDel="00000000" w:rsidR="00000000" w:rsidRPr="00000000">
              <w:rPr>
                <w:rtl w:val="0"/>
              </w:rPr>
              <w:t xml:space="preserve">Page</w:t>
            </w:r>
          </w:p>
        </w:tc>
      </w:tr>
      <w:tr>
        <w:trPr>
          <w:cantSplit w:val="0"/>
          <w:tblHeader w:val="1"/>
        </w:trPr>
        <w:tc>
          <w:tcPr/>
          <w:p w:rsidR="00000000" w:rsidDel="00000000" w:rsidP="00000000" w:rsidRDefault="00000000" w:rsidRPr="00000000" w14:paraId="0000000B">
            <w:pPr>
              <w:rPr/>
            </w:pPr>
            <w:r w:rsidDel="00000000" w:rsidR="00000000" w:rsidRPr="00000000">
              <w:rPr>
                <w:rtl w:val="0"/>
              </w:rPr>
            </w:r>
          </w:p>
        </w:tc>
        <w:tc>
          <w:tcPr/>
          <w:p w:rsidR="00000000" w:rsidDel="00000000" w:rsidP="00000000" w:rsidRDefault="00000000" w:rsidRPr="00000000" w14:paraId="0000000C">
            <w:pPr>
              <w:rPr/>
            </w:pPr>
            <w:r w:rsidDel="00000000" w:rsidR="00000000" w:rsidRPr="00000000">
              <w:rPr>
                <w:rtl w:val="0"/>
              </w:rPr>
              <w:t xml:space="preserve">Amendment Record</w:t>
            </w:r>
          </w:p>
        </w:tc>
        <w:tc>
          <w:tcPr/>
          <w:p w:rsidR="00000000" w:rsidDel="00000000" w:rsidP="00000000" w:rsidRDefault="00000000" w:rsidRPr="00000000" w14:paraId="0000000D">
            <w:pPr>
              <w:rPr/>
            </w:pPr>
            <w:r w:rsidDel="00000000" w:rsidR="00000000" w:rsidRPr="00000000">
              <w:rPr>
                <w:rtl w:val="0"/>
              </w:rPr>
            </w:r>
          </w:p>
        </w:tc>
      </w:tr>
      <w:tr>
        <w:trPr>
          <w:cantSplit w:val="0"/>
          <w:tblHeader w:val="1"/>
        </w:trPr>
        <w:tc>
          <w:tcPr/>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t xml:space="preserve">Version 1: reviewed:</w:t>
            </w:r>
          </w:p>
          <w:p w:rsidR="00000000" w:rsidDel="00000000" w:rsidP="00000000" w:rsidRDefault="00000000" w:rsidRPr="00000000" w14:paraId="00000010">
            <w:pPr>
              <w:rPr/>
            </w:pPr>
            <w:r w:rsidDel="00000000" w:rsidR="00000000" w:rsidRPr="00000000">
              <w:rPr>
                <w:rtl w:val="0"/>
              </w:rPr>
              <w:t xml:space="preserve">Version 2: approved:</w:t>
            </w:r>
          </w:p>
          <w:p w:rsidR="00000000" w:rsidDel="00000000" w:rsidP="00000000" w:rsidRDefault="00000000" w:rsidRPr="00000000" w14:paraId="00000011">
            <w:pPr>
              <w:rPr/>
            </w:pPr>
            <w:r w:rsidDel="00000000" w:rsidR="00000000" w:rsidRPr="00000000">
              <w:rPr>
                <w:rtl w:val="0"/>
              </w:rPr>
              <w:t xml:space="preserve">Review date: 30 June 2026</w:t>
            </w:r>
          </w:p>
        </w:tc>
        <w:tc>
          <w:tcPr/>
          <w:p w:rsidR="00000000" w:rsidDel="00000000" w:rsidP="00000000" w:rsidRDefault="00000000" w:rsidRPr="00000000" w14:paraId="00000012">
            <w:pPr>
              <w:rPr/>
            </w:pPr>
            <w:r w:rsidDel="00000000" w:rsidR="00000000" w:rsidRPr="00000000">
              <w:rPr>
                <w:rtl w:val="0"/>
              </w:rPr>
            </w:r>
          </w:p>
        </w:tc>
      </w:tr>
      <w:tr>
        <w:trPr>
          <w:cantSplit w:val="0"/>
          <w:tblHeader w:val="1"/>
        </w:trPr>
        <w:tc>
          <w:tcPr/>
          <w:p w:rsidR="00000000" w:rsidDel="00000000" w:rsidP="00000000" w:rsidRDefault="00000000" w:rsidRPr="00000000" w14:paraId="00000013">
            <w:pPr>
              <w:rPr/>
            </w:pPr>
            <w:r w:rsidDel="00000000" w:rsidR="00000000" w:rsidRPr="00000000">
              <w:rPr>
                <w:rtl w:val="0"/>
              </w:rPr>
              <w:t xml:space="preserve">1</w:t>
            </w:r>
          </w:p>
        </w:tc>
        <w:tc>
          <w:tcPr/>
          <w:p w:rsidR="00000000" w:rsidDel="00000000" w:rsidP="00000000" w:rsidRDefault="00000000" w:rsidRPr="00000000" w14:paraId="00000014">
            <w:pPr>
              <w:rPr/>
            </w:pPr>
            <w:r w:rsidDel="00000000" w:rsidR="00000000" w:rsidRPr="00000000">
              <w:rPr>
                <w:rtl w:val="0"/>
              </w:rPr>
              <w:t xml:space="preserve">Introduction and Policy Statement</w:t>
            </w:r>
          </w:p>
        </w:tc>
        <w:tc>
          <w:tcPr/>
          <w:p w:rsidR="00000000" w:rsidDel="00000000" w:rsidP="00000000" w:rsidRDefault="00000000" w:rsidRPr="00000000" w14:paraId="00000015">
            <w:pPr>
              <w:rPr/>
            </w:pPr>
            <w:r w:rsidDel="00000000" w:rsidR="00000000" w:rsidRPr="00000000">
              <w:rPr>
                <w:rtl w:val="0"/>
              </w:rPr>
              <w:t xml:space="preserve">2</w:t>
            </w:r>
          </w:p>
        </w:tc>
      </w:tr>
      <w:tr>
        <w:trPr>
          <w:cantSplit w:val="0"/>
          <w:tblHeader w:val="1"/>
        </w:trPr>
        <w:tc>
          <w:tcPr/>
          <w:p w:rsidR="00000000" w:rsidDel="00000000" w:rsidP="00000000" w:rsidRDefault="00000000" w:rsidRPr="00000000" w14:paraId="00000016">
            <w:pPr>
              <w:rPr/>
            </w:pPr>
            <w:r w:rsidDel="00000000" w:rsidR="00000000" w:rsidRPr="00000000">
              <w:rPr>
                <w:rtl w:val="0"/>
              </w:rPr>
              <w:t xml:space="preserve">2</w:t>
            </w:r>
          </w:p>
        </w:tc>
        <w:tc>
          <w:tcPr/>
          <w:p w:rsidR="00000000" w:rsidDel="00000000" w:rsidP="00000000" w:rsidRDefault="00000000" w:rsidRPr="00000000" w14:paraId="00000017">
            <w:pPr>
              <w:rPr/>
            </w:pPr>
            <w:r w:rsidDel="00000000" w:rsidR="00000000" w:rsidRPr="00000000">
              <w:rPr>
                <w:rtl w:val="0"/>
              </w:rPr>
              <w:t xml:space="preserve">Management Structure</w:t>
            </w:r>
          </w:p>
        </w:tc>
        <w:tc>
          <w:tcPr/>
          <w:p w:rsidR="00000000" w:rsidDel="00000000" w:rsidP="00000000" w:rsidRDefault="00000000" w:rsidRPr="00000000" w14:paraId="00000018">
            <w:pP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3</w:t>
            </w:r>
          </w:p>
        </w:tc>
        <w:tc>
          <w:tcPr/>
          <w:p w:rsidR="00000000" w:rsidDel="00000000" w:rsidP="00000000" w:rsidRDefault="00000000" w:rsidRPr="00000000" w14:paraId="0000001A">
            <w:pPr>
              <w:rPr/>
            </w:pPr>
            <w:r w:rsidDel="00000000" w:rsidR="00000000" w:rsidRPr="00000000">
              <w:rPr>
                <w:rtl w:val="0"/>
              </w:rPr>
              <w:t xml:space="preserve">General Responsibilities</w:t>
            </w:r>
          </w:p>
        </w:tc>
        <w:tc>
          <w:tcPr/>
          <w:p w:rsidR="00000000" w:rsidDel="00000000" w:rsidP="00000000" w:rsidRDefault="00000000" w:rsidRPr="00000000" w14:paraId="0000001B">
            <w:pP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4</w:t>
            </w:r>
          </w:p>
        </w:tc>
        <w:tc>
          <w:tcPr/>
          <w:p w:rsidR="00000000" w:rsidDel="00000000" w:rsidP="00000000" w:rsidRDefault="00000000" w:rsidRPr="00000000" w14:paraId="0000001D">
            <w:pPr>
              <w:rPr/>
            </w:pPr>
            <w:r w:rsidDel="00000000" w:rsidR="00000000" w:rsidRPr="00000000">
              <w:rPr>
                <w:rtl w:val="0"/>
              </w:rPr>
              <w:t xml:space="preserve">Procedures and Training</w:t>
            </w:r>
          </w:p>
        </w:tc>
        <w:tc>
          <w:tcPr/>
          <w:p w:rsidR="00000000" w:rsidDel="00000000" w:rsidP="00000000" w:rsidRDefault="00000000" w:rsidRPr="00000000" w14:paraId="0000001E">
            <w:pP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5</w:t>
            </w:r>
          </w:p>
        </w:tc>
        <w:tc>
          <w:tcPr/>
          <w:p w:rsidR="00000000" w:rsidDel="00000000" w:rsidP="00000000" w:rsidRDefault="00000000" w:rsidRPr="00000000" w14:paraId="00000020">
            <w:pPr>
              <w:rPr/>
            </w:pPr>
            <w:r w:rsidDel="00000000" w:rsidR="00000000" w:rsidRPr="00000000">
              <w:rPr>
                <w:rtl w:val="0"/>
              </w:rPr>
              <w:t xml:space="preserve">Review, Continuous Improvement and Reporting</w:t>
            </w:r>
          </w:p>
        </w:tc>
        <w:tc>
          <w:tcPr/>
          <w:p w:rsidR="00000000" w:rsidDel="00000000" w:rsidP="00000000" w:rsidRDefault="00000000" w:rsidRPr="00000000" w14:paraId="00000021">
            <w:pP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6</w:t>
            </w:r>
          </w:p>
        </w:tc>
        <w:tc>
          <w:tcPr/>
          <w:p w:rsidR="00000000" w:rsidDel="00000000" w:rsidP="00000000" w:rsidRDefault="00000000" w:rsidRPr="00000000" w14:paraId="00000023">
            <w:pPr>
              <w:rPr/>
            </w:pPr>
            <w:r w:rsidDel="00000000" w:rsidR="00000000" w:rsidRPr="00000000">
              <w:rPr>
                <w:rtl w:val="0"/>
              </w:rPr>
              <w:t xml:space="preserve">References</w:t>
            </w:r>
          </w:p>
        </w:tc>
        <w:tc>
          <w:tcPr/>
          <w:p w:rsidR="00000000" w:rsidDel="00000000" w:rsidP="00000000" w:rsidRDefault="00000000" w:rsidRPr="00000000" w14:paraId="00000024">
            <w:pP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t xml:space="preserve">Appendices</w:t>
            </w:r>
          </w:p>
        </w:tc>
        <w:tc>
          <w:tcPr/>
          <w:p w:rsidR="00000000" w:rsidDel="00000000" w:rsidP="00000000" w:rsidRDefault="00000000" w:rsidRPr="00000000" w14:paraId="00000027">
            <w:pPr>
              <w:rPr/>
            </w:pPr>
            <w:r w:rsidDel="00000000" w:rsidR="00000000" w:rsidRPr="00000000">
              <w:rPr>
                <w:rtl w:val="0"/>
              </w:rPr>
              <w:t xml:space="preserve">None</w:t>
            </w:r>
          </w:p>
        </w:tc>
      </w:tr>
      <w:tr>
        <w:trPr>
          <w:cantSplit w:val="0"/>
          <w:tblHeader w:val="0"/>
        </w:trPr>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t xml:space="preserve">Colleague Agreement</w:t>
            </w:r>
          </w:p>
        </w:tc>
        <w:tc>
          <w:tcPr/>
          <w:p w:rsidR="00000000" w:rsidDel="00000000" w:rsidP="00000000" w:rsidRDefault="00000000" w:rsidRPr="00000000" w14:paraId="0000002A">
            <w:pPr>
              <w:rPr/>
            </w:pPr>
            <w:r w:rsidDel="00000000" w:rsidR="00000000" w:rsidRPr="00000000">
              <w:rPr>
                <w:rtl w:val="0"/>
              </w:rPr>
              <w:t xml:space="preserve">6</w:t>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1. </w:t>
        <w:tab/>
        <w:t xml:space="preserve">Introduction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rPr>
      </w:pPr>
      <w:r w:rsidDel="00000000" w:rsidR="00000000" w:rsidRPr="00000000">
        <w:rPr>
          <w:rFonts w:ascii="Arial" w:cs="Arial" w:eastAsia="Arial" w:hAnsi="Arial"/>
          <w:rtl w:val="0"/>
        </w:rPr>
        <w:t xml:space="preserve">This policy reflects the guidance provided in the Charity Commission for England and Wales’ Guidance: Complaints about charities</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and its report ‘Cause for Complaint’ that:</w:t>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Fonts w:ascii="Arial" w:cs="Arial" w:eastAsia="Arial" w:hAnsi="Arial"/>
          <w:rtl w:val="0"/>
        </w:rPr>
        <w:t xml:space="preserve"> ‘an effective complaints management system is a proven way of maintaining and building relationships with the people on whom the charity depends.’ and</w:t>
      </w:r>
    </w:p>
    <w:p w:rsidR="00000000" w:rsidDel="00000000" w:rsidP="00000000" w:rsidRDefault="00000000" w:rsidRPr="00000000" w14:paraId="0000003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Fonts w:ascii="Arial" w:cs="Arial" w:eastAsia="Arial" w:hAnsi="Arial"/>
          <w:rtl w:val="0"/>
        </w:rPr>
        <w:t xml:space="preserve">Good complaints procedures ‘bring a range of benefits, including, crucially, strengthening their capacity to deliver good-quality services and building the trust of their users, stakeholders and the wider public’ by:</w:t>
      </w:r>
    </w:p>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5">
      <w:pPr>
        <w:numPr>
          <w:ilvl w:val="0"/>
          <w:numId w:val="6"/>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Giving service users ‘more influence over the charity and the way it operates’</w:t>
      </w:r>
    </w:p>
    <w:p w:rsidR="00000000" w:rsidDel="00000000" w:rsidP="00000000" w:rsidRDefault="00000000" w:rsidRPr="00000000" w14:paraId="00000036">
      <w:pPr>
        <w:numPr>
          <w:ilvl w:val="0"/>
          <w:numId w:val="6"/>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Enabling ‘the charity to show that it is focusing on the users’ needs’. Showing the charity is responsible and accountable’ and is ‘open, fair and honest’.</w:t>
      </w:r>
    </w:p>
    <w:p w:rsidR="00000000" w:rsidDel="00000000" w:rsidP="00000000" w:rsidRDefault="00000000" w:rsidRPr="00000000" w14:paraId="00000037">
      <w:pPr>
        <w:numPr>
          <w:ilvl w:val="0"/>
          <w:numId w:val="6"/>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Enabling the charity to tackle problems and concerns early.</w:t>
      </w:r>
    </w:p>
    <w:p w:rsidR="00000000" w:rsidDel="00000000" w:rsidP="00000000" w:rsidRDefault="00000000" w:rsidRPr="00000000" w14:paraId="00000038">
      <w:pPr>
        <w:numPr>
          <w:ilvl w:val="0"/>
          <w:numId w:val="6"/>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‘Minimise the adverse effects of things that go wrong and reduce the chances of problems (recurring or) escalating’. </w:t>
      </w:r>
    </w:p>
    <w:p w:rsidR="00000000" w:rsidDel="00000000" w:rsidP="00000000" w:rsidRDefault="00000000" w:rsidRPr="00000000" w14:paraId="00000039">
      <w:pPr>
        <w:numPr>
          <w:ilvl w:val="0"/>
          <w:numId w:val="6"/>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Helps the charity measure quality, identify unmet needs and continuously improve. </w:t>
      </w:r>
    </w:p>
    <w:p w:rsidR="00000000" w:rsidDel="00000000" w:rsidP="00000000" w:rsidRDefault="00000000" w:rsidRPr="00000000" w14:paraId="0000003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rPr>
      </w:pPr>
      <w:r w:rsidDel="00000000" w:rsidR="00000000" w:rsidRPr="00000000">
        <w:rPr>
          <w:rFonts w:ascii="Arial" w:cs="Arial" w:eastAsia="Arial" w:hAnsi="Arial"/>
          <w:rtl w:val="0"/>
        </w:rPr>
        <w:t xml:space="preserve">Therefore this policy outlines Shropshire Supports Refugees’ (SSR) approach to demonstrating our commitment to all of our stakeholders by providing the best possible services and learning from things that go wrong, specifically by promptly and fairly investigating and responding effectively to complaints, and collating and acting upon related learning. </w:t>
      </w:r>
    </w:p>
    <w:p w:rsidR="00000000" w:rsidDel="00000000" w:rsidP="00000000" w:rsidRDefault="00000000" w:rsidRPr="00000000" w14:paraId="0000003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rPr>
      </w:pPr>
      <w:r w:rsidDel="00000000" w:rsidR="00000000" w:rsidRPr="00000000">
        <w:rPr>
          <w:rFonts w:ascii="Arial" w:cs="Arial" w:eastAsia="Arial" w:hAnsi="Arial"/>
          <w:rtl w:val="0"/>
        </w:rPr>
        <w:t xml:space="preserve">All complaints, from service users, partner organizations and members of the public, are welcome as opportunities to improve our services and no one will be treated unfairly or differently because they make a complaint</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w:t>
      </w:r>
    </w:p>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rPr>
      </w:pPr>
      <w:r w:rsidDel="00000000" w:rsidR="00000000" w:rsidRPr="00000000">
        <w:rPr>
          <w:rFonts w:ascii="Arial" w:cs="Arial" w:eastAsia="Arial" w:hAnsi="Arial"/>
          <w:rtl w:val="0"/>
        </w:rPr>
        <w:t xml:space="preserve">Complaints may be made in any appropriate format, e.g. verbally in person, by telephone, by email or letter.</w:t>
      </w:r>
    </w:p>
    <w:p w:rsidR="00000000" w:rsidDel="00000000" w:rsidP="00000000" w:rsidRDefault="00000000" w:rsidRPr="00000000" w14:paraId="0000004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rPr>
      </w:pPr>
      <w:r w:rsidDel="00000000" w:rsidR="00000000" w:rsidRPr="00000000">
        <w:rPr>
          <w:rFonts w:ascii="Arial" w:cs="Arial" w:eastAsia="Arial" w:hAnsi="Arial"/>
          <w:rtl w:val="0"/>
        </w:rPr>
        <w:t xml:space="preserve">All complaints will be handled sensitively, treated as confidential, and considered with due regards to our Data Protection Policy and Equality, Diversity and Inclusion Policy. No one will be treated more or less favourably because of the personal characteristics.</w:t>
      </w:r>
    </w:p>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rFonts w:ascii="Arial" w:cs="Arial" w:eastAsia="Arial" w:hAnsi="Arial"/>
          <w:rtl w:val="0"/>
        </w:rPr>
        <w:t xml:space="preserve">Complaints may use a representative</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to provide support and advice and help to explain their concerns .</w:t>
      </w:r>
    </w:p>
    <w:p w:rsidR="00000000" w:rsidDel="00000000" w:rsidP="00000000" w:rsidRDefault="00000000" w:rsidRPr="00000000" w14:paraId="0000004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after="0"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0" w:line="240" w:lineRule="auto"/>
        <w:rPr>
          <w:b w:val="1"/>
        </w:rPr>
      </w:pPr>
      <w:r w:rsidDel="00000000" w:rsidR="00000000" w:rsidRPr="00000000">
        <w:rPr>
          <w:b w:val="1"/>
          <w:rtl w:val="0"/>
        </w:rPr>
        <w:t xml:space="preserve">2.</w:t>
        <w:tab/>
        <w:t xml:space="preserve">Management Structure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rtl w:val="0"/>
        </w:rPr>
        <w:t xml:space="preserve">Our Chair of Trustees, holds ultimate responsibility for the implementation and oversight of this policy. The trustees are responsible for defining our policy for handling complaints</w:t>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t xml:space="preserve">This responsibility is delegated to the Deputy Chief Executive Officer (CEO) to:</w:t>
      </w:r>
    </w:p>
    <w:p w:rsidR="00000000" w:rsidDel="00000000" w:rsidP="00000000" w:rsidRDefault="00000000" w:rsidRPr="00000000" w14:paraId="0000004B">
      <w:pPr>
        <w:numPr>
          <w:ilvl w:val="0"/>
          <w:numId w:val="5"/>
        </w:numPr>
        <w:spacing w:after="0" w:line="240" w:lineRule="auto"/>
        <w:ind w:left="720" w:hanging="360"/>
        <w:rPr>
          <w:u w:val="none"/>
        </w:rPr>
      </w:pPr>
      <w:r w:rsidDel="00000000" w:rsidR="00000000" w:rsidRPr="00000000">
        <w:rPr>
          <w:rtl w:val="0"/>
        </w:rPr>
        <w:t xml:space="preserve"> maintain operational oversight</w:t>
      </w:r>
    </w:p>
    <w:p w:rsidR="00000000" w:rsidDel="00000000" w:rsidP="00000000" w:rsidRDefault="00000000" w:rsidRPr="00000000" w14:paraId="0000004C">
      <w:pPr>
        <w:numPr>
          <w:ilvl w:val="0"/>
          <w:numId w:val="5"/>
        </w:numPr>
        <w:spacing w:after="0" w:line="240" w:lineRule="auto"/>
        <w:ind w:left="720" w:hanging="360"/>
        <w:rPr>
          <w:u w:val="none"/>
        </w:rPr>
      </w:pPr>
      <w:r w:rsidDel="00000000" w:rsidR="00000000" w:rsidRPr="00000000">
        <w:rPr>
          <w:rtl w:val="0"/>
        </w:rPr>
        <w:t xml:space="preserve">ensure that all colleagues are aware of this policy and the imperative of adhering to it</w:t>
      </w:r>
    </w:p>
    <w:p w:rsidR="00000000" w:rsidDel="00000000" w:rsidP="00000000" w:rsidRDefault="00000000" w:rsidRPr="00000000" w14:paraId="0000004D">
      <w:pPr>
        <w:numPr>
          <w:ilvl w:val="0"/>
          <w:numId w:val="5"/>
        </w:numPr>
        <w:spacing w:after="0" w:line="240" w:lineRule="auto"/>
        <w:ind w:left="720" w:hanging="360"/>
        <w:rPr>
          <w:u w:val="none"/>
        </w:rPr>
      </w:pPr>
      <w:r w:rsidDel="00000000" w:rsidR="00000000" w:rsidRPr="00000000">
        <w:rPr>
          <w:rtl w:val="0"/>
        </w:rPr>
        <w:t xml:space="preserve">investigating and responding to complaints.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 General Responsibilities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colleagues, including trustees, volunteers and contractors, are required to comply with this policy, attend relevant training, and report all complaints to the Deputy CEO.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u w:val="single"/>
        </w:rPr>
      </w:pPr>
      <w:r w:rsidDel="00000000" w:rsidR="00000000" w:rsidRPr="00000000">
        <w:rPr>
          <w:b w:val="1"/>
          <w:rtl w:val="0"/>
        </w:rPr>
        <w:t xml:space="preserve">4. Procedures and Training</w:t>
      </w:r>
      <w:r w:rsidDel="00000000" w:rsidR="00000000" w:rsidRPr="00000000">
        <w:rPr>
          <w:rtl w:val="0"/>
        </w:rPr>
      </w:r>
    </w:p>
    <w:p w:rsidR="00000000" w:rsidDel="00000000" w:rsidP="00000000" w:rsidRDefault="00000000" w:rsidRPr="00000000" w14:paraId="00000054">
      <w:pPr>
        <w:spacing w:after="0" w:line="240" w:lineRule="auto"/>
        <w:rPr>
          <w:highlight w:val="yellow"/>
          <w:u w:val="single"/>
        </w:rPr>
      </w:pPr>
      <w:r w:rsidDel="00000000" w:rsidR="00000000" w:rsidRPr="00000000">
        <w:rPr>
          <w:rtl w:val="0"/>
        </w:rPr>
      </w:r>
    </w:p>
    <w:p w:rsidR="00000000" w:rsidDel="00000000" w:rsidP="00000000" w:rsidRDefault="00000000" w:rsidRPr="00000000" w14:paraId="00000055">
      <w:pPr>
        <w:spacing w:after="0" w:line="240" w:lineRule="auto"/>
        <w:rPr/>
      </w:pPr>
      <w:r w:rsidDel="00000000" w:rsidR="00000000" w:rsidRPr="00000000">
        <w:rPr>
          <w:rtl w:val="0"/>
        </w:rPr>
        <w:t xml:space="preserve">4.1 This policy is published on our website. A copy will be sent by post or email to anyone who requests it.</w:t>
      </w:r>
    </w:p>
    <w:p w:rsidR="00000000" w:rsidDel="00000000" w:rsidP="00000000" w:rsidRDefault="00000000" w:rsidRPr="00000000" w14:paraId="00000056">
      <w:pPr>
        <w:spacing w:after="0" w:line="240" w:lineRule="auto"/>
        <w:rPr/>
      </w:pPr>
      <w:r w:rsidDel="00000000" w:rsidR="00000000" w:rsidRPr="00000000">
        <w:rPr>
          <w:rtl w:val="0"/>
        </w:rPr>
      </w:r>
    </w:p>
    <w:p w:rsidR="00000000" w:rsidDel="00000000" w:rsidP="00000000" w:rsidRDefault="00000000" w:rsidRPr="00000000" w14:paraId="00000057">
      <w:pPr>
        <w:spacing w:after="0" w:line="240" w:lineRule="auto"/>
        <w:rPr/>
      </w:pPr>
      <w:r w:rsidDel="00000000" w:rsidR="00000000" w:rsidRPr="00000000">
        <w:rPr>
          <w:rtl w:val="0"/>
        </w:rPr>
        <w:t xml:space="preserve">4.2</w:t>
        <w:tab/>
        <w:t xml:space="preserve">Written complaints may be sent to our postal address:</w:t>
      </w:r>
    </w:p>
    <w:p w:rsidR="00000000" w:rsidDel="00000000" w:rsidP="00000000" w:rsidRDefault="00000000" w:rsidRPr="00000000" w14:paraId="00000058">
      <w:pPr>
        <w:spacing w:after="0" w:line="240" w:lineRule="auto"/>
        <w:rPr/>
      </w:pPr>
      <w:r w:rsidDel="00000000" w:rsidR="00000000" w:rsidRPr="00000000">
        <w:rPr>
          <w:rtl w:val="0"/>
        </w:rPr>
        <w:tab/>
        <w:t xml:space="preserve">Shropshire Supports Refugees</w:t>
      </w:r>
    </w:p>
    <w:p w:rsidR="00000000" w:rsidDel="00000000" w:rsidP="00000000" w:rsidRDefault="00000000" w:rsidRPr="00000000" w14:paraId="00000059">
      <w:pPr>
        <w:spacing w:after="0" w:line="240" w:lineRule="auto"/>
        <w:rPr/>
      </w:pPr>
      <w:r w:rsidDel="00000000" w:rsidR="00000000" w:rsidRPr="00000000">
        <w:rPr>
          <w:rtl w:val="0"/>
        </w:rPr>
        <w:tab/>
        <w:t xml:space="preserve">3-5 Mardol Gardens</w:t>
      </w:r>
    </w:p>
    <w:p w:rsidR="00000000" w:rsidDel="00000000" w:rsidP="00000000" w:rsidRDefault="00000000" w:rsidRPr="00000000" w14:paraId="0000005A">
      <w:pPr>
        <w:spacing w:after="0" w:line="240" w:lineRule="auto"/>
        <w:rPr/>
      </w:pPr>
      <w:r w:rsidDel="00000000" w:rsidR="00000000" w:rsidRPr="00000000">
        <w:rPr>
          <w:rtl w:val="0"/>
        </w:rPr>
        <w:tab/>
        <w:t xml:space="preserve">Shrewsbury</w:t>
      </w:r>
    </w:p>
    <w:p w:rsidR="00000000" w:rsidDel="00000000" w:rsidP="00000000" w:rsidRDefault="00000000" w:rsidRPr="00000000" w14:paraId="0000005B">
      <w:pPr>
        <w:spacing w:after="0" w:line="240" w:lineRule="auto"/>
        <w:rPr/>
      </w:pPr>
      <w:r w:rsidDel="00000000" w:rsidR="00000000" w:rsidRPr="00000000">
        <w:rPr>
          <w:rtl w:val="0"/>
        </w:rPr>
        <w:tab/>
        <w:t xml:space="preserve">SY1 1PR</w:t>
      </w:r>
    </w:p>
    <w:p w:rsidR="00000000" w:rsidDel="00000000" w:rsidP="00000000" w:rsidRDefault="00000000" w:rsidRPr="00000000" w14:paraId="0000005C">
      <w:pPr>
        <w:spacing w:after="0" w:line="240" w:lineRule="auto"/>
        <w:rPr/>
      </w:pP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rPr>
          <w:rtl w:val="0"/>
        </w:rPr>
        <w:tab/>
        <w:t xml:space="preserve">Or emailed to:</w:t>
      </w:r>
    </w:p>
    <w:p w:rsidR="00000000" w:rsidDel="00000000" w:rsidP="00000000" w:rsidRDefault="00000000" w:rsidRPr="00000000" w14:paraId="0000005E">
      <w:pPr>
        <w:spacing w:after="0" w:line="240" w:lineRule="auto"/>
        <w:rPr/>
      </w:pPr>
      <w:r w:rsidDel="00000000" w:rsidR="00000000" w:rsidRPr="00000000">
        <w:rPr>
          <w:rtl w:val="0"/>
        </w:rPr>
        <w:tab/>
      </w:r>
      <w:hyperlink r:id="rId9">
        <w:r w:rsidDel="00000000" w:rsidR="00000000" w:rsidRPr="00000000">
          <w:rPr>
            <w:color w:val="1155cc"/>
            <w:u w:val="single"/>
            <w:rtl w:val="0"/>
          </w:rPr>
          <w:t xml:space="preserve">info@shropshiresupportsrefugees.co.uk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spacing w:after="0" w:line="240" w:lineRule="auto"/>
        <w:ind w:left="720" w:hanging="720"/>
        <w:rPr/>
      </w:pPr>
      <w:r w:rsidDel="00000000" w:rsidR="00000000" w:rsidRPr="00000000">
        <w:rPr>
          <w:rtl w:val="0"/>
        </w:rPr>
        <w:t xml:space="preserve">4.3</w:t>
        <w:tab/>
        <w:t xml:space="preserve">Complaints may also be made verbally by telephone or in person to any member of SSR’s trustees, staff, or volunteers.</w:t>
      </w:r>
    </w:p>
    <w:p w:rsidR="00000000" w:rsidDel="00000000" w:rsidP="00000000" w:rsidRDefault="00000000" w:rsidRPr="00000000" w14:paraId="00000061">
      <w:pPr>
        <w:spacing w:after="0" w:line="240" w:lineRule="auto"/>
        <w:ind w:left="720" w:hanging="720"/>
        <w:rPr/>
      </w:pPr>
      <w:r w:rsidDel="00000000" w:rsidR="00000000" w:rsidRPr="00000000">
        <w:rPr>
          <w:rtl w:val="0"/>
        </w:rPr>
      </w:r>
    </w:p>
    <w:p w:rsidR="00000000" w:rsidDel="00000000" w:rsidP="00000000" w:rsidRDefault="00000000" w:rsidRPr="00000000" w14:paraId="00000062">
      <w:pPr>
        <w:spacing w:after="0" w:line="240" w:lineRule="auto"/>
        <w:ind w:left="720" w:hanging="720"/>
        <w:rPr/>
      </w:pPr>
      <w:r w:rsidDel="00000000" w:rsidR="00000000" w:rsidRPr="00000000">
        <w:rPr>
          <w:rtl w:val="0"/>
        </w:rPr>
        <w:t xml:space="preserve">4.4</w:t>
        <w:tab/>
        <w:t xml:space="preserve">Consent will be obtained for complaints received verbally to be written down. The complainant’s name, address, telephone, email address and relationship to SSR will be recorded to enable us to contact them to further discuss their complaint. The colleague receiving the verbal complaint must report the facts of the complaint without adding their opinion or providing any conjecture. Unpleasant or abusive language must be recorded verbatim especially when the complainant reports that it was said by a person they are complaining about. If they have written documents relating to their complaint they should be asked to provide/allow it to be copied.</w:t>
      </w:r>
      <w:r w:rsidDel="00000000" w:rsidR="00000000" w:rsidRPr="00000000">
        <w:br w:type="page"/>
      </w:r>
      <w:r w:rsidDel="00000000" w:rsidR="00000000" w:rsidRPr="00000000">
        <w:rPr>
          <w:rtl w:val="0"/>
        </w:rPr>
      </w:r>
    </w:p>
    <w:p w:rsidR="00000000" w:rsidDel="00000000" w:rsidP="00000000" w:rsidRDefault="00000000" w:rsidRPr="00000000" w14:paraId="00000063">
      <w:pPr>
        <w:spacing w:after="0" w:line="240" w:lineRule="auto"/>
        <w:ind w:left="720" w:hanging="720"/>
        <w:rPr/>
      </w:pPr>
      <w:r w:rsidDel="00000000" w:rsidR="00000000" w:rsidRPr="00000000">
        <w:rPr>
          <w:rtl w:val="0"/>
        </w:rPr>
        <w:t xml:space="preserve">4.5</w:t>
        <w:tab/>
        <w:t xml:space="preserve">Anyone making a complaint will be advised that it will be investigated by the Deputy CEO</w:t>
      </w:r>
      <w:r w:rsidDel="00000000" w:rsidR="00000000" w:rsidRPr="00000000">
        <w:rPr>
          <w:vertAlign w:val="superscript"/>
        </w:rPr>
        <w:footnoteReference w:customMarkFollows="0" w:id="4"/>
      </w:r>
      <w:r w:rsidDel="00000000" w:rsidR="00000000" w:rsidRPr="00000000">
        <w:rPr>
          <w:rtl w:val="0"/>
        </w:rPr>
        <w:t xml:space="preserve"> and that they should expect a written response within four weeks it will be possible for the response to be verbally explained to the complainant and/or their representative.</w:t>
      </w:r>
    </w:p>
    <w:p w:rsidR="00000000" w:rsidDel="00000000" w:rsidP="00000000" w:rsidRDefault="00000000" w:rsidRPr="00000000" w14:paraId="00000064">
      <w:pPr>
        <w:spacing w:after="0" w:line="240" w:lineRule="auto"/>
        <w:rPr/>
      </w:pPr>
      <w:r w:rsidDel="00000000" w:rsidR="00000000" w:rsidRPr="00000000">
        <w:rPr>
          <w:rtl w:val="0"/>
        </w:rPr>
      </w:r>
    </w:p>
    <w:p w:rsidR="00000000" w:rsidDel="00000000" w:rsidP="00000000" w:rsidRDefault="00000000" w:rsidRPr="00000000" w14:paraId="00000065">
      <w:pPr>
        <w:spacing w:after="0" w:line="240" w:lineRule="auto"/>
        <w:ind w:left="720" w:hanging="720"/>
        <w:rPr/>
      </w:pPr>
      <w:r w:rsidDel="00000000" w:rsidR="00000000" w:rsidRPr="00000000">
        <w:rPr>
          <w:rtl w:val="0"/>
        </w:rPr>
        <w:t xml:space="preserve">4.6</w:t>
        <w:tab/>
        <w:t xml:space="preserve">Any colleague who receives a complaint must report it to the Deputy CEO within one working day. In the absence of the Deputy CEO it must be reported to the Operations Manager.</w:t>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after="0" w:line="240" w:lineRule="auto"/>
        <w:ind w:left="720" w:hanging="720"/>
        <w:rPr/>
      </w:pPr>
      <w:r w:rsidDel="00000000" w:rsidR="00000000" w:rsidRPr="00000000">
        <w:rPr>
          <w:rtl w:val="0"/>
        </w:rPr>
        <w:t xml:space="preserve">4.7</w:t>
        <w:tab/>
        <w:t xml:space="preserve">The Deputy CEO will acknowledge the complaint, log it and begin an investigation</w:t>
      </w:r>
      <w:r w:rsidDel="00000000" w:rsidR="00000000" w:rsidRPr="00000000">
        <w:rPr>
          <w:vertAlign w:val="superscript"/>
        </w:rPr>
        <w:footnoteReference w:customMarkFollows="0" w:id="5"/>
      </w:r>
      <w:r w:rsidDel="00000000" w:rsidR="00000000" w:rsidRPr="00000000">
        <w:rPr>
          <w:rtl w:val="0"/>
        </w:rPr>
        <w:t xml:space="preserve"> as soon as possible. The following further actions will be taken:</w:t>
      </w:r>
    </w:p>
    <w:p w:rsidR="00000000" w:rsidDel="00000000" w:rsidP="00000000" w:rsidRDefault="00000000" w:rsidRPr="00000000" w14:paraId="00000068">
      <w:pPr>
        <w:spacing w:after="0" w:line="240" w:lineRule="auto"/>
        <w:rPr/>
      </w:pPr>
      <w:r w:rsidDel="00000000" w:rsidR="00000000" w:rsidRPr="00000000">
        <w:rPr>
          <w:rtl w:val="0"/>
        </w:rPr>
      </w:r>
    </w:p>
    <w:p w:rsidR="00000000" w:rsidDel="00000000" w:rsidP="00000000" w:rsidRDefault="00000000" w:rsidRPr="00000000" w14:paraId="00000069">
      <w:pPr>
        <w:spacing w:after="0" w:line="240" w:lineRule="auto"/>
        <w:rPr/>
      </w:pPr>
      <w:r w:rsidDel="00000000" w:rsidR="00000000" w:rsidRPr="00000000">
        <w:rPr>
          <w:rtl w:val="0"/>
        </w:rPr>
        <w:t xml:space="preserve">Stage 1</w:t>
      </w:r>
    </w:p>
    <w:p w:rsidR="00000000" w:rsidDel="00000000" w:rsidP="00000000" w:rsidRDefault="00000000" w:rsidRPr="00000000" w14:paraId="0000006A">
      <w:pPr>
        <w:spacing w:after="0" w:line="240" w:lineRule="auto"/>
        <w:rPr/>
      </w:pPr>
      <w:r w:rsidDel="00000000" w:rsidR="00000000" w:rsidRPr="00000000">
        <w:rPr>
          <w:rtl w:val="0"/>
        </w:rPr>
      </w:r>
    </w:p>
    <w:p w:rsidR="00000000" w:rsidDel="00000000" w:rsidP="00000000" w:rsidRDefault="00000000" w:rsidRPr="00000000" w14:paraId="0000006B">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The acknowledgement will identify who will investigate the complaint, when a response will be provided and provide a copy of this policy.</w:t>
      </w:r>
    </w:p>
    <w:p w:rsidR="00000000" w:rsidDel="00000000" w:rsidP="00000000" w:rsidRDefault="00000000" w:rsidRPr="00000000" w14:paraId="0000006C">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If the complaint is about a particular person/persons they will be given an opportunity to explain their perspective.</w:t>
      </w:r>
    </w:p>
    <w:p w:rsidR="00000000" w:rsidDel="00000000" w:rsidP="00000000" w:rsidRDefault="00000000" w:rsidRPr="00000000" w14:paraId="0000006D">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Exceptionally if a response cannot be provided within 4 weeks an update will be given to the complainant.</w:t>
      </w:r>
      <w:r w:rsidDel="00000000" w:rsidR="00000000" w:rsidRPr="00000000">
        <w:rPr>
          <w:rtl w:val="0"/>
        </w:rPr>
      </w:r>
    </w:p>
    <w:p w:rsidR="00000000" w:rsidDel="00000000" w:rsidP="00000000" w:rsidRDefault="00000000" w:rsidRPr="00000000" w14:paraId="0000006E">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The final report will identify the findings of the investigation and any actions that have/will be taken.</w:t>
      </w:r>
    </w:p>
    <w:p w:rsidR="00000000" w:rsidDel="00000000" w:rsidP="00000000" w:rsidRDefault="00000000" w:rsidRPr="00000000" w14:paraId="0000006F">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This will usually be the conclusion of the complaint and it will be recorded as closed.</w:t>
      </w:r>
    </w:p>
    <w:p w:rsidR="00000000" w:rsidDel="00000000" w:rsidP="00000000" w:rsidRDefault="00000000" w:rsidRPr="00000000" w14:paraId="0000007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1">
      <w:pPr>
        <w:spacing w:after="0" w:line="240" w:lineRule="auto"/>
        <w:rPr>
          <w:rFonts w:ascii="Arial" w:cs="Arial" w:eastAsia="Arial" w:hAnsi="Arial"/>
        </w:rPr>
      </w:pPr>
      <w:r w:rsidDel="00000000" w:rsidR="00000000" w:rsidRPr="00000000">
        <w:rPr>
          <w:rFonts w:ascii="Arial" w:cs="Arial" w:eastAsia="Arial" w:hAnsi="Arial"/>
          <w:rtl w:val="0"/>
        </w:rPr>
        <w:t xml:space="preserve">Stage 2</w:t>
      </w:r>
    </w:p>
    <w:p w:rsidR="00000000" w:rsidDel="00000000" w:rsidP="00000000" w:rsidRDefault="00000000" w:rsidRPr="00000000" w14:paraId="00000072">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If the complainant is not satisfied with the outcome of the investigation and/or the actions taken a review of the investigation will be undertaken by a member of the Senior Management Team who did not conduct it and the findings passed to the Chair of the Trustees</w:t>
      </w:r>
      <w:r w:rsidDel="00000000" w:rsidR="00000000" w:rsidRPr="00000000">
        <w:rPr>
          <w:rFonts w:ascii="Arial" w:cs="Arial" w:eastAsia="Arial" w:hAnsi="Arial"/>
          <w:vertAlign w:val="superscript"/>
        </w:rPr>
        <w:footnoteReference w:customMarkFollows="0" w:id="6"/>
      </w:r>
      <w:r w:rsidDel="00000000" w:rsidR="00000000" w:rsidRPr="00000000">
        <w:rPr>
          <w:rFonts w:ascii="Arial" w:cs="Arial" w:eastAsia="Arial" w:hAnsi="Arial"/>
          <w:rtl w:val="0"/>
        </w:rPr>
        <w:t xml:space="preserve"> for consideration.</w:t>
      </w:r>
    </w:p>
    <w:p w:rsidR="00000000" w:rsidDel="00000000" w:rsidP="00000000" w:rsidRDefault="00000000" w:rsidRPr="00000000" w14:paraId="00000073">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The complainant will be advised of this review.</w:t>
      </w:r>
    </w:p>
    <w:p w:rsidR="00000000" w:rsidDel="00000000" w:rsidP="00000000" w:rsidRDefault="00000000" w:rsidRPr="00000000" w14:paraId="00000074">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 further response will be sent to the complainant within 4 weeks.</w:t>
      </w:r>
    </w:p>
    <w:p w:rsidR="00000000" w:rsidDel="00000000" w:rsidP="00000000" w:rsidRDefault="00000000" w:rsidRPr="00000000" w14:paraId="0000007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240" w:lineRule="auto"/>
        <w:rPr>
          <w:rFonts w:ascii="Arial" w:cs="Arial" w:eastAsia="Arial" w:hAnsi="Arial"/>
        </w:rPr>
      </w:pPr>
      <w:r w:rsidDel="00000000" w:rsidR="00000000" w:rsidRPr="00000000">
        <w:rPr>
          <w:rFonts w:ascii="Arial" w:cs="Arial" w:eastAsia="Arial" w:hAnsi="Arial"/>
          <w:rtl w:val="0"/>
        </w:rPr>
        <w:t xml:space="preserve">The trustees may seek external advice if appropriate to assist with resolving the complaint</w:t>
      </w:r>
      <w:r w:rsidDel="00000000" w:rsidR="00000000" w:rsidRPr="00000000">
        <w:rPr>
          <w:rFonts w:ascii="Arial" w:cs="Arial" w:eastAsia="Arial" w:hAnsi="Arial"/>
          <w:vertAlign w:val="superscript"/>
        </w:rPr>
        <w:footnoteReference w:customMarkFollows="0" w:id="7"/>
      </w:r>
      <w:r w:rsidDel="00000000" w:rsidR="00000000" w:rsidRPr="00000000">
        <w:rPr>
          <w:rFonts w:ascii="Arial" w:cs="Arial" w:eastAsia="Arial" w:hAnsi="Arial"/>
          <w:rtl w:val="0"/>
        </w:rPr>
        <w:t xml:space="preserve">.</w:t>
      </w:r>
    </w:p>
    <w:p w:rsidR="00000000" w:rsidDel="00000000" w:rsidP="00000000" w:rsidRDefault="00000000" w:rsidRPr="00000000" w14:paraId="0000007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rPr>
      </w:pPr>
      <w:r w:rsidDel="00000000" w:rsidR="00000000" w:rsidRPr="00000000">
        <w:rPr>
          <w:rFonts w:ascii="Arial" w:cs="Arial" w:eastAsia="Arial" w:hAnsi="Arial"/>
          <w:rtl w:val="0"/>
        </w:rPr>
        <w:t xml:space="preserve">Stage 3</w:t>
      </w:r>
    </w:p>
    <w:p w:rsidR="00000000" w:rsidDel="00000000" w:rsidP="00000000" w:rsidRDefault="00000000" w:rsidRPr="00000000" w14:paraId="00000079">
      <w:pPr>
        <w:numPr>
          <w:ilvl w:val="0"/>
          <w:numId w:val="4"/>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If the complainant remains unhappy with the outcome of their complaint they will be advised to report it to the Charity Commission</w:t>
      </w:r>
      <w:r w:rsidDel="00000000" w:rsidR="00000000" w:rsidRPr="00000000">
        <w:rPr>
          <w:rFonts w:ascii="Arial" w:cs="Arial" w:eastAsia="Arial" w:hAnsi="Arial"/>
          <w:vertAlign w:val="superscript"/>
        </w:rPr>
        <w:footnoteReference w:customMarkFollows="0" w:id="8"/>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A">
      <w:pPr>
        <w:spacing w:after="0" w:line="240" w:lineRule="auto"/>
        <w:rPr/>
      </w:pPr>
      <w:r w:rsidDel="00000000" w:rsidR="00000000" w:rsidRPr="00000000">
        <w:rPr>
          <w:rtl w:val="0"/>
        </w:rPr>
      </w:r>
    </w:p>
    <w:p w:rsidR="00000000" w:rsidDel="00000000" w:rsidP="00000000" w:rsidRDefault="00000000" w:rsidRPr="00000000" w14:paraId="0000007B">
      <w:pPr>
        <w:spacing w:after="0"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240" w:lineRule="auto"/>
        <w:rPr>
          <w:b w:val="1"/>
        </w:rPr>
      </w:pPr>
      <w:r w:rsidDel="00000000" w:rsidR="00000000" w:rsidRPr="00000000">
        <w:rPr>
          <w:b w:val="1"/>
          <w:rtl w:val="0"/>
        </w:rPr>
        <w:t xml:space="preserve">5</w:t>
        <w:tab/>
        <w:t xml:space="preserve">Review, Continuous Improvement and Reporting</w:t>
      </w:r>
    </w:p>
    <w:p w:rsidR="00000000" w:rsidDel="00000000" w:rsidP="00000000" w:rsidRDefault="00000000" w:rsidRPr="00000000" w14:paraId="0000007D">
      <w:pPr>
        <w:spacing w:after="0" w:line="240" w:lineRule="auto"/>
        <w:rPr/>
      </w:pPr>
      <w:r w:rsidDel="00000000" w:rsidR="00000000" w:rsidRPr="00000000">
        <w:rPr>
          <w:rtl w:val="0"/>
        </w:rPr>
      </w:r>
    </w:p>
    <w:p w:rsidR="00000000" w:rsidDel="00000000" w:rsidP="00000000" w:rsidRDefault="00000000" w:rsidRPr="00000000" w14:paraId="0000007E">
      <w:pPr>
        <w:spacing w:after="0" w:line="240" w:lineRule="auto"/>
        <w:ind w:left="720" w:hanging="720"/>
        <w:rPr/>
      </w:pPr>
      <w:r w:rsidDel="00000000" w:rsidR="00000000" w:rsidRPr="00000000">
        <w:rPr>
          <w:rtl w:val="0"/>
        </w:rPr>
        <w:t xml:space="preserve">5.1</w:t>
        <w:tab/>
        <w:t xml:space="preserve">In accordance with our Corporate Document Framework this policy will be regularly reviewed and ongoing compliance with it monitored by the Deputy CEO. Operational improvements will be made to address any identified weaknesses in our practice.</w:t>
      </w:r>
    </w:p>
    <w:p w:rsidR="00000000" w:rsidDel="00000000" w:rsidP="00000000" w:rsidRDefault="00000000" w:rsidRPr="00000000" w14:paraId="0000007F">
      <w:pPr>
        <w:spacing w:after="0" w:line="240" w:lineRule="auto"/>
        <w:rPr/>
      </w:pPr>
      <w:r w:rsidDel="00000000" w:rsidR="00000000" w:rsidRPr="00000000">
        <w:rPr>
          <w:rtl w:val="0"/>
        </w:rPr>
      </w:r>
    </w:p>
    <w:p w:rsidR="00000000" w:rsidDel="00000000" w:rsidP="00000000" w:rsidRDefault="00000000" w:rsidRPr="00000000" w14:paraId="00000080">
      <w:pPr>
        <w:spacing w:after="0" w:line="240" w:lineRule="auto"/>
        <w:ind w:left="720" w:hanging="720"/>
        <w:rPr/>
      </w:pPr>
      <w:r w:rsidDel="00000000" w:rsidR="00000000" w:rsidRPr="00000000">
        <w:rPr>
          <w:rtl w:val="0"/>
        </w:rPr>
        <w:t xml:space="preserve">5.2</w:t>
        <w:tab/>
        <w:t xml:space="preserve">The Deputy CEO will monitor complaints, to identify themes and trends and ensure identified actions are implemented and effective.</w:t>
      </w:r>
    </w:p>
    <w:p w:rsidR="00000000" w:rsidDel="00000000" w:rsidP="00000000" w:rsidRDefault="00000000" w:rsidRPr="00000000" w14:paraId="00000081">
      <w:pPr>
        <w:spacing w:after="0" w:line="240" w:lineRule="auto"/>
        <w:rPr/>
      </w:pPr>
      <w:r w:rsidDel="00000000" w:rsidR="00000000" w:rsidRPr="00000000">
        <w:rPr>
          <w:rtl w:val="0"/>
        </w:rPr>
      </w:r>
    </w:p>
    <w:p w:rsidR="00000000" w:rsidDel="00000000" w:rsidP="00000000" w:rsidRDefault="00000000" w:rsidRPr="00000000" w14:paraId="00000082">
      <w:pPr>
        <w:spacing w:after="0" w:line="240" w:lineRule="auto"/>
        <w:rPr/>
      </w:pPr>
      <w:r w:rsidDel="00000000" w:rsidR="00000000" w:rsidRPr="00000000">
        <w:rPr>
          <w:rtl w:val="0"/>
        </w:rPr>
        <w:t xml:space="preserve">The Deputy CEO will also provide an annual complaints report to the trustees and may raise any significant concerns identified by complaints directly to the Chair or at any trustees meeting.</w:t>
      </w:r>
    </w:p>
    <w:p w:rsidR="00000000" w:rsidDel="00000000" w:rsidP="00000000" w:rsidRDefault="00000000" w:rsidRPr="00000000" w14:paraId="00000083">
      <w:pPr>
        <w:spacing w:after="0" w:line="240" w:lineRule="auto"/>
        <w:rPr>
          <w:b w:val="1"/>
        </w:rPr>
      </w:pPr>
      <w:r w:rsidDel="00000000" w:rsidR="00000000" w:rsidRPr="00000000">
        <w:rPr>
          <w:rtl w:val="0"/>
        </w:rPr>
      </w:r>
    </w:p>
    <w:p w:rsidR="00000000" w:rsidDel="00000000" w:rsidP="00000000" w:rsidRDefault="00000000" w:rsidRPr="00000000" w14:paraId="00000084">
      <w:pPr>
        <w:spacing w:after="0" w:line="240" w:lineRule="auto"/>
        <w:rPr>
          <w:b w:val="1"/>
        </w:rPr>
      </w:pPr>
      <w:r w:rsidDel="00000000" w:rsidR="00000000" w:rsidRPr="00000000">
        <w:rPr>
          <w:b w:val="1"/>
          <w:rtl w:val="0"/>
        </w:rPr>
        <w:t xml:space="preserve">6</w:t>
        <w:tab/>
        <w:t xml:space="preserve">References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spacing w:after="0" w:line="240" w:lineRule="auto"/>
        <w:rPr/>
      </w:pPr>
      <w:r w:rsidDel="00000000" w:rsidR="00000000" w:rsidRPr="00000000">
        <w:rPr>
          <w:rtl w:val="0"/>
        </w:rPr>
        <w:t xml:space="preserve">Our commitment to the safe and professional use of social media is guided by relevant legislation, regulation, best practice guidance and our related corporate documents, including:</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Legislation and regulation: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Data Protection Act 2018 (</w:t>
      </w:r>
      <w:hyperlink r:id="rId10">
        <w:r w:rsidDel="00000000" w:rsidR="00000000" w:rsidRPr="00000000">
          <w:rPr>
            <w:color w:val="1155cc"/>
            <w:u w:val="single"/>
            <w:rtl w:val="0"/>
          </w:rPr>
          <w:t xml:space="preserve">https://www.legislation.gov.uk/ukpga/2018/12/contents</w:t>
        </w:r>
      </w:hyperlink>
      <w:r w:rsidDel="00000000" w:rsidR="00000000" w:rsidRPr="00000000">
        <w:rPr>
          <w:rtl w:val="0"/>
        </w:rPr>
        <w:t xml:space="preserv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Charity Commission: </w:t>
      </w:r>
      <w:r w:rsidDel="00000000" w:rsidR="00000000" w:rsidRPr="00000000">
        <w:rPr>
          <w:rFonts w:ascii="Arial" w:cs="Arial" w:eastAsia="Arial" w:hAnsi="Arial"/>
          <w:rtl w:val="0"/>
        </w:rPr>
        <w:t xml:space="preserve">Charity Commission for England and Wales’ Guidance: Complaints about charities </w:t>
      </w:r>
      <w:r w:rsidDel="00000000" w:rsidR="00000000" w:rsidRPr="00000000">
        <w:rPr>
          <w:rFonts w:ascii="Arial" w:cs="Arial" w:eastAsia="Arial" w:hAnsi="Arial"/>
          <w:rtl w:val="0"/>
        </w:rPr>
        <w:t xml:space="preserve">(</w:t>
      </w:r>
      <w:hyperlink r:id="rId11">
        <w:r w:rsidDel="00000000" w:rsidR="00000000" w:rsidRPr="00000000">
          <w:rPr>
            <w:color w:val="1155cc"/>
            <w:u w:val="single"/>
            <w:rtl w:val="0"/>
          </w:rPr>
          <w:t xml:space="preserve">https://www.gov.uk/government/publications/complaints-about-charities/complaints-about-charities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Charity Commission: Cause for complaint</w:t>
      </w:r>
      <w:r w:rsidDel="00000000" w:rsidR="00000000" w:rsidRPr="00000000">
        <w:rPr>
          <w:rtl w:val="0"/>
        </w:rPr>
      </w:r>
    </w:p>
    <w:p w:rsidR="00000000" w:rsidDel="00000000" w:rsidP="00000000" w:rsidRDefault="00000000" w:rsidRPr="00000000" w14:paraId="0000008F">
      <w:pPr>
        <w:spacing w:after="0" w:line="240" w:lineRule="auto"/>
        <w:rPr/>
      </w:pPr>
      <w:r w:rsidDel="00000000" w:rsidR="00000000" w:rsidRPr="00000000">
        <w:rPr>
          <w:rtl w:val="0"/>
        </w:rPr>
        <w:t xml:space="preserve">( </w:t>
      </w:r>
      <w:hyperlink r:id="rId12">
        <w:r w:rsidDel="00000000" w:rsidR="00000000" w:rsidRPr="00000000">
          <w:rPr>
            <w:color w:val="1155cc"/>
            <w:u w:val="single"/>
            <w:rtl w:val="0"/>
          </w:rPr>
          <w:t xml:space="preserve">https://assets.publishing.service.gov.uk/media/5a7c99d0e5274a7b7e3218a0/rs11text.pdf</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spacing w:after="0" w:line="240" w:lineRule="auto"/>
        <w:rPr/>
      </w:pPr>
      <w:r w:rsidDel="00000000" w:rsidR="00000000" w:rsidRPr="00000000">
        <w:rPr>
          <w:rtl w:val="0"/>
        </w:rPr>
        <w:t xml:space="preserve">This Social Media Policy is supported by other key SSR policies and other corporate documents, which collectively ensure comprehensive and cohesive support for our service users and staff. These include:</w:t>
      </w:r>
    </w:p>
    <w:p w:rsidR="00000000" w:rsidDel="00000000" w:rsidP="00000000" w:rsidRDefault="00000000" w:rsidRPr="00000000" w14:paraId="00000092">
      <w:pPr>
        <w:spacing w:after="0" w:line="240" w:lineRule="auto"/>
        <w:rPr/>
      </w:pPr>
      <w:r w:rsidDel="00000000" w:rsidR="00000000" w:rsidRPr="00000000">
        <w:rPr>
          <w:rtl w:val="0"/>
        </w:rPr>
      </w:r>
    </w:p>
    <w:p w:rsidR="00000000" w:rsidDel="00000000" w:rsidP="00000000" w:rsidRDefault="00000000" w:rsidRPr="00000000" w14:paraId="00000093">
      <w:pPr>
        <w:numPr>
          <w:ilvl w:val="0"/>
          <w:numId w:val="2"/>
        </w:numPr>
        <w:spacing w:after="0" w:line="240" w:lineRule="auto"/>
        <w:ind w:left="720" w:hanging="360"/>
        <w:rPr>
          <w:u w:val="none"/>
        </w:rPr>
      </w:pPr>
      <w:r w:rsidDel="00000000" w:rsidR="00000000" w:rsidRPr="00000000">
        <w:rPr>
          <w:rtl w:val="0"/>
        </w:rPr>
        <w:t xml:space="preserve">Data Protection Policy</w:t>
      </w:r>
      <w:r w:rsidDel="00000000" w:rsidR="00000000" w:rsidRPr="00000000">
        <w:rPr>
          <w:rtl w:val="0"/>
        </w:rPr>
      </w:r>
    </w:p>
    <w:p w:rsidR="00000000" w:rsidDel="00000000" w:rsidP="00000000" w:rsidRDefault="00000000" w:rsidRPr="00000000" w14:paraId="00000094">
      <w:pPr>
        <w:numPr>
          <w:ilvl w:val="0"/>
          <w:numId w:val="2"/>
        </w:numPr>
        <w:spacing w:after="0" w:line="240" w:lineRule="auto"/>
        <w:ind w:left="720" w:hanging="360"/>
        <w:rPr>
          <w:u w:val="none"/>
        </w:rPr>
      </w:pPr>
      <w:r w:rsidDel="00000000" w:rsidR="00000000" w:rsidRPr="00000000">
        <w:rPr>
          <w:rtl w:val="0"/>
        </w:rPr>
        <w:t xml:space="preserve">Equality Diversity and Inclusion Policy</w:t>
      </w:r>
      <w:r w:rsidDel="00000000" w:rsidR="00000000" w:rsidRPr="00000000">
        <w:rPr>
          <w:rtl w:val="0"/>
        </w:rPr>
      </w:r>
    </w:p>
    <w:p w:rsidR="00000000" w:rsidDel="00000000" w:rsidP="00000000" w:rsidRDefault="00000000" w:rsidRPr="00000000" w14:paraId="00000095">
      <w:pPr>
        <w:numPr>
          <w:ilvl w:val="0"/>
          <w:numId w:val="2"/>
        </w:numPr>
        <w:spacing w:after="0" w:line="240" w:lineRule="auto"/>
        <w:ind w:left="720" w:hanging="360"/>
        <w:rPr>
          <w:u w:val="none"/>
        </w:rPr>
      </w:pPr>
      <w:r w:rsidDel="00000000" w:rsidR="00000000" w:rsidRPr="00000000">
        <w:rPr>
          <w:rtl w:val="0"/>
        </w:rPr>
        <w:t xml:space="preserve">Staff Handbook</w:t>
      </w:r>
      <w:r w:rsidDel="00000000" w:rsidR="00000000" w:rsidRPr="00000000">
        <w:rPr>
          <w:rtl w:val="0"/>
        </w:rPr>
      </w:r>
    </w:p>
    <w:p w:rsidR="00000000" w:rsidDel="00000000" w:rsidP="00000000" w:rsidRDefault="00000000" w:rsidRPr="00000000" w14:paraId="00000096">
      <w:pPr>
        <w:numPr>
          <w:ilvl w:val="0"/>
          <w:numId w:val="2"/>
        </w:numPr>
        <w:spacing w:after="0" w:line="240" w:lineRule="auto"/>
        <w:ind w:left="720" w:hanging="360"/>
        <w:rPr>
          <w:u w:val="none"/>
        </w:rPr>
      </w:pPr>
      <w:r w:rsidDel="00000000" w:rsidR="00000000" w:rsidRPr="00000000">
        <w:rPr>
          <w:rtl w:val="0"/>
        </w:rPr>
        <w:t xml:space="preserve">Volunteer Handbook</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 2</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Date Approved:</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Next Review Date: </w:t>
      </w:r>
      <w:r w:rsidDel="00000000" w:rsidR="00000000" w:rsidRPr="00000000">
        <w:rPr>
          <w:rtl w:val="0"/>
        </w:rPr>
        <w:t xml:space="preserve">31 January 2026</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Signed: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Heather Thomas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Chair of Trustees</w:t>
      </w:r>
      <w:r w:rsidDel="00000000" w:rsidR="00000000" w:rsidRPr="00000000">
        <w:br w:type="page"/>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Colleague Agreement</w:t>
      </w:r>
    </w:p>
    <w:p w:rsidR="00000000" w:rsidDel="00000000" w:rsidP="00000000" w:rsidRDefault="00000000" w:rsidRPr="00000000" w14:paraId="000000A0">
      <w:pPr>
        <w:pStyle w:val="Heading3"/>
        <w:spacing w:after="120" w:line="240" w:lineRule="auto"/>
        <w:rPr>
          <w:rFonts w:ascii="Arial" w:cs="Arial" w:eastAsia="Arial" w:hAnsi="Arial"/>
          <w:color w:val="000000"/>
          <w:sz w:val="24"/>
          <w:szCs w:val="24"/>
        </w:rPr>
      </w:pPr>
      <w:bookmarkStart w:colFirst="0" w:colLast="0" w:name="_heading=h.2p2csry" w:id="0"/>
      <w:bookmarkEnd w:id="0"/>
      <w:r w:rsidDel="00000000" w:rsidR="00000000" w:rsidRPr="00000000">
        <w:rPr>
          <w:rFonts w:ascii="Arial" w:cs="Arial" w:eastAsia="Arial" w:hAnsi="Arial"/>
          <w:color w:val="000000"/>
          <w:sz w:val="24"/>
          <w:szCs w:val="24"/>
          <w:rtl w:val="0"/>
        </w:rPr>
        <w:t xml:space="preserve">I have read and understood Shropshire Supports Refugees Complaints Policy. I agree to abide by the rules set out in this policy and I understand that failing to abide by this policy may result in disciplinary action.</w:t>
      </w:r>
    </w:p>
    <w:p w:rsidR="00000000" w:rsidDel="00000000" w:rsidP="00000000" w:rsidRDefault="00000000" w:rsidRPr="00000000" w14:paraId="000000A1">
      <w:pPr>
        <w:spacing w:after="280" w:before="280" w:line="240" w:lineRule="auto"/>
        <w:ind w:left="360" w:firstLine="0"/>
        <w:rPr>
          <w:rFonts w:ascii="Arial" w:cs="Arial" w:eastAsia="Arial" w:hAnsi="Arial"/>
        </w:rPr>
      </w:pPr>
      <w:bookmarkStart w:colFirst="0" w:colLast="0" w:name="_heading=h.147n2zr" w:id="1"/>
      <w:bookmarkEnd w:id="1"/>
      <w:r w:rsidDel="00000000" w:rsidR="00000000" w:rsidRPr="00000000">
        <w:rPr>
          <w:rFonts w:ascii="Arial" w:cs="Arial" w:eastAsia="Arial" w:hAnsi="Arial"/>
          <w:rtl w:val="0"/>
        </w:rPr>
        <w:t xml:space="preserve"> </w:t>
      </w:r>
    </w:p>
    <w:p w:rsidR="00000000" w:rsidDel="00000000" w:rsidP="00000000" w:rsidRDefault="00000000" w:rsidRPr="00000000" w14:paraId="000000A2">
      <w:pPr>
        <w:spacing w:after="280" w:before="280" w:line="240" w:lineRule="auto"/>
        <w:ind w:left="360" w:firstLine="0"/>
        <w:rPr>
          <w:rFonts w:ascii="Arial" w:cs="Arial" w:eastAsia="Arial" w:hAnsi="Arial"/>
        </w:rPr>
      </w:pPr>
      <w:r w:rsidDel="00000000" w:rsidR="00000000" w:rsidRPr="00000000">
        <w:rPr>
          <w:rFonts w:ascii="Arial" w:cs="Arial" w:eastAsia="Arial" w:hAnsi="Arial"/>
          <w:rtl w:val="0"/>
        </w:rPr>
        <w:t xml:space="preserve">Name:</w:t>
      </w:r>
    </w:p>
    <w:p w:rsidR="00000000" w:rsidDel="00000000" w:rsidP="00000000" w:rsidRDefault="00000000" w:rsidRPr="00000000" w14:paraId="000000A3">
      <w:pPr>
        <w:spacing w:after="280" w:before="280" w:line="240" w:lineRule="auto"/>
        <w:ind w:left="360" w:firstLine="0"/>
        <w:rPr>
          <w:rFonts w:ascii="Arial" w:cs="Arial" w:eastAsia="Arial" w:hAnsi="Arial"/>
        </w:rPr>
      </w:pPr>
      <w:r w:rsidDel="00000000" w:rsidR="00000000" w:rsidRPr="00000000">
        <w:rPr>
          <w:rFonts w:ascii="Arial" w:cs="Arial" w:eastAsia="Arial" w:hAnsi="Arial"/>
          <w:rtl w:val="0"/>
        </w:rPr>
        <w:t xml:space="preserve">Role:</w:t>
      </w:r>
    </w:p>
    <w:p w:rsidR="00000000" w:rsidDel="00000000" w:rsidP="00000000" w:rsidRDefault="00000000" w:rsidRPr="00000000" w14:paraId="000000A4">
      <w:pPr>
        <w:spacing w:after="280" w:before="280" w:line="240" w:lineRule="auto"/>
        <w:ind w:left="360" w:firstLine="0"/>
        <w:rPr>
          <w:rFonts w:ascii="Arial" w:cs="Arial" w:eastAsia="Arial" w:hAnsi="Arial"/>
        </w:rPr>
      </w:pPr>
      <w:r w:rsidDel="00000000" w:rsidR="00000000" w:rsidRPr="00000000">
        <w:rPr>
          <w:rFonts w:ascii="Arial" w:cs="Arial" w:eastAsia="Arial" w:hAnsi="Arial"/>
          <w:rtl w:val="0"/>
        </w:rPr>
        <w:t xml:space="preserve">Signed: </w:t>
      </w:r>
    </w:p>
    <w:p w:rsidR="00000000" w:rsidDel="00000000" w:rsidP="00000000" w:rsidRDefault="00000000" w:rsidRPr="00000000" w14:paraId="000000A5">
      <w:pPr>
        <w:spacing w:after="280" w:before="280"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A6">
      <w:pPr>
        <w:spacing w:after="280" w:before="280" w:line="240" w:lineRule="auto"/>
        <w:ind w:left="360" w:firstLine="0"/>
        <w:rPr>
          <w:rFonts w:ascii="Arial" w:cs="Arial" w:eastAsia="Arial" w:hAnsi="Arial"/>
        </w:rPr>
      </w:pPr>
      <w:r w:rsidDel="00000000" w:rsidR="00000000" w:rsidRPr="00000000">
        <w:rPr>
          <w:rFonts w:ascii="Arial" w:cs="Arial" w:eastAsia="Arial" w:hAnsi="Arial"/>
          <w:rtl w:val="0"/>
        </w:rPr>
        <w:t xml:space="preserve">Date: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right"/>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right"/>
        <w:rPr/>
      </w:pPr>
      <w:r w:rsidDel="00000000" w:rsidR="00000000" w:rsidRPr="00000000">
        <w:rPr>
          <w:rtl w:val="0"/>
        </w:rPr>
      </w:r>
    </w:p>
    <w:p w:rsidR="00000000" w:rsidDel="00000000" w:rsidP="00000000" w:rsidRDefault="00000000" w:rsidRPr="00000000" w14:paraId="000000AA">
      <w:pPr>
        <w:spacing w:after="0" w:line="240" w:lineRule="auto"/>
        <w:rPr/>
      </w:pPr>
      <w:r w:rsidDel="00000000" w:rsidR="00000000" w:rsidRPr="00000000">
        <w:rPr>
          <w:rtl w:val="0"/>
        </w:rPr>
      </w:r>
    </w:p>
    <w:p w:rsidR="00000000" w:rsidDel="00000000" w:rsidP="00000000" w:rsidRDefault="00000000" w:rsidRPr="00000000" w14:paraId="000000AB">
      <w:pPr>
        <w:spacing w:after="0" w:line="240" w:lineRule="auto"/>
        <w:rPr/>
      </w:pPr>
      <w:r w:rsidDel="00000000" w:rsidR="00000000" w:rsidRPr="00000000">
        <w:rPr>
          <w:rtl w:val="0"/>
        </w:rPr>
      </w:r>
    </w:p>
    <w:sectPr>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rPr/>
    </w:pPr>
    <w:r w:rsidDel="00000000" w:rsidR="00000000" w:rsidRPr="00000000">
      <w:rPr>
        <w:rtl w:val="0"/>
      </w:rPr>
      <w:t xml:space="preserve">Version 2: Complaints Policy </w:t>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https://assets.publishing.service.gov.uk/media/5a7c99d0e5274a7b7e3218a0/rs11text.pdf</w:t>
        </w:r>
      </w:hyperlink>
      <w:r w:rsidDel="00000000" w:rsidR="00000000" w:rsidRPr="00000000">
        <w:rPr>
          <w:sz w:val="20"/>
          <w:szCs w:val="20"/>
          <w:rtl w:val="0"/>
        </w:rPr>
        <w:t xml:space="preserve"> p1</w:t>
      </w:r>
      <w:r w:rsidDel="00000000" w:rsidR="00000000" w:rsidRPr="00000000">
        <w:rPr>
          <w:rtl w:val="0"/>
        </w:rPr>
      </w:r>
    </w:p>
  </w:footnote>
  <w:footnote w:id="2">
    <w:p w:rsidR="00000000" w:rsidDel="00000000" w:rsidP="00000000" w:rsidRDefault="00000000" w:rsidRPr="00000000" w14:paraId="000000A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Colleagues should raise hazards, difficulties and concerns in accordance with our Health and Safety Policy and relevant Human Resources Policies.</w:t>
      </w:r>
    </w:p>
  </w:footnote>
  <w:footnote w:id="3">
    <w:p w:rsidR="00000000" w:rsidDel="00000000" w:rsidP="00000000" w:rsidRDefault="00000000" w:rsidRPr="00000000" w14:paraId="000000A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E.g. an advocate, advice agency, external support worker, family member or friend. We will also endeavour to find a translator if this proves necessary.</w:t>
      </w:r>
    </w:p>
    <w:p w:rsidR="00000000" w:rsidDel="00000000" w:rsidP="00000000" w:rsidRDefault="00000000" w:rsidRPr="00000000" w14:paraId="000000B0">
      <w:pPr>
        <w:spacing w:after="0" w:line="240" w:lineRule="auto"/>
        <w:rPr>
          <w:sz w:val="20"/>
          <w:szCs w:val="20"/>
        </w:rPr>
      </w:pPr>
      <w:r w:rsidDel="00000000" w:rsidR="00000000" w:rsidRPr="00000000">
        <w:rPr>
          <w:rtl w:val="0"/>
        </w:rPr>
      </w:r>
    </w:p>
  </w:footnote>
  <w:footnote w:id="5">
    <w:p w:rsidR="00000000" w:rsidDel="00000000" w:rsidP="00000000" w:rsidRDefault="00000000" w:rsidRPr="00000000" w14:paraId="000000B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If appropriate the investigation may be delegated to the Operations Manager.</w:t>
      </w:r>
    </w:p>
  </w:footnote>
  <w:footnote w:id="8">
    <w:p w:rsidR="00000000" w:rsidDel="00000000" w:rsidP="00000000" w:rsidRDefault="00000000" w:rsidRPr="00000000" w14:paraId="000000B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Complainants are free to complain to the Charity Commission directly rather than SSR at any stage with their concern. The Charity Commission encourages them to go to the charity concerned in the first instance but they are not obliged to to do so.</w:t>
      </w:r>
    </w:p>
  </w:footnote>
  <w:footnote w:id="7">
    <w:p w:rsidR="00000000" w:rsidDel="00000000" w:rsidP="00000000" w:rsidRDefault="00000000" w:rsidRPr="00000000" w14:paraId="000000B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advice may be sought from suitable external agencies including the Charity Commission or a legal adviser.</w:t>
      </w:r>
    </w:p>
  </w:footnote>
  <w:footnote w:id="1">
    <w:p w:rsidR="00000000" w:rsidDel="00000000" w:rsidP="00000000" w:rsidRDefault="00000000" w:rsidRPr="00000000" w14:paraId="000000B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https://www.gov.uk/government/publications/complaints-about-charities/complaints-about-charities</w:t>
        </w:r>
      </w:hyperlink>
      <w:r w:rsidDel="00000000" w:rsidR="00000000" w:rsidRPr="00000000">
        <w:rPr>
          <w:sz w:val="20"/>
          <w:szCs w:val="20"/>
          <w:rtl w:val="0"/>
        </w:rPr>
        <w:t xml:space="preserve"> </w:t>
      </w:r>
    </w:p>
  </w:footnote>
  <w:footnote w:id="6">
    <w:p w:rsidR="00000000" w:rsidDel="00000000" w:rsidP="00000000" w:rsidRDefault="00000000" w:rsidRPr="00000000" w14:paraId="000000B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If the complaint is about the Chair of Trustees this stage should be fulfilled by another trustee.</w:t>
      </w:r>
    </w:p>
  </w:footnote>
  <w:footnote w:id="4">
    <w:p w:rsidR="00000000" w:rsidDel="00000000" w:rsidP="00000000" w:rsidRDefault="00000000" w:rsidRPr="00000000" w14:paraId="000000B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If the complaint is about the Deputy CEO the investigation must be conducted by another SMT member.</w:t>
      </w:r>
    </w:p>
    <w:p w:rsidR="00000000" w:rsidDel="00000000" w:rsidP="00000000" w:rsidRDefault="00000000" w:rsidRPr="00000000" w14:paraId="000000B7">
      <w:pPr>
        <w:spacing w:after="0"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8212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8212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82128"/>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82128"/>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82128"/>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82128"/>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8212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8212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8212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8212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8212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8212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8212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8212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8212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8212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8212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82128"/>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82128"/>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82128"/>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82128"/>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8212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8212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82128"/>
    <w:rPr>
      <w:i w:val="1"/>
      <w:iCs w:val="1"/>
      <w:color w:val="404040" w:themeColor="text1" w:themeTint="0000BF"/>
    </w:rPr>
  </w:style>
  <w:style w:type="paragraph" w:styleId="ListParagraph">
    <w:name w:val="List Paragraph"/>
    <w:basedOn w:val="Normal"/>
    <w:uiPriority w:val="34"/>
    <w:qFormat w:val="1"/>
    <w:rsid w:val="00082128"/>
    <w:pPr>
      <w:ind w:left="720"/>
      <w:contextualSpacing w:val="1"/>
    </w:pPr>
  </w:style>
  <w:style w:type="character" w:styleId="IntenseEmphasis">
    <w:name w:val="Intense Emphasis"/>
    <w:basedOn w:val="DefaultParagraphFont"/>
    <w:uiPriority w:val="21"/>
    <w:qFormat w:val="1"/>
    <w:rsid w:val="00082128"/>
    <w:rPr>
      <w:i w:val="1"/>
      <w:iCs w:val="1"/>
      <w:color w:val="0f4761" w:themeColor="accent1" w:themeShade="0000BF"/>
    </w:rPr>
  </w:style>
  <w:style w:type="paragraph" w:styleId="IntenseQuote">
    <w:name w:val="Intense Quote"/>
    <w:basedOn w:val="Normal"/>
    <w:next w:val="Normal"/>
    <w:link w:val="IntenseQuoteChar"/>
    <w:uiPriority w:val="30"/>
    <w:qFormat w:val="1"/>
    <w:rsid w:val="0008212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82128"/>
    <w:rPr>
      <w:i w:val="1"/>
      <w:iCs w:val="1"/>
      <w:color w:val="0f4761" w:themeColor="accent1" w:themeShade="0000BF"/>
    </w:rPr>
  </w:style>
  <w:style w:type="character" w:styleId="IntenseReference">
    <w:name w:val="Intense Reference"/>
    <w:basedOn w:val="DefaultParagraphFont"/>
    <w:uiPriority w:val="32"/>
    <w:qFormat w:val="1"/>
    <w:rsid w:val="00082128"/>
    <w:rPr>
      <w:b w:val="1"/>
      <w:bCs w:val="1"/>
      <w:smallCaps w:val="1"/>
      <w:color w:val="0f4761" w:themeColor="accent1" w:themeShade="0000BF"/>
      <w:spacing w:val="5"/>
    </w:rPr>
  </w:style>
  <w:style w:type="paragraph" w:styleId="NoSpacing">
    <w:name w:val="No Spacing"/>
    <w:uiPriority w:val="1"/>
    <w:qFormat w:val="1"/>
    <w:rsid w:val="00222E69"/>
    <w:pPr>
      <w:spacing w:after="0" w:line="240" w:lineRule="auto"/>
    </w:pPr>
  </w:style>
  <w:style w:type="character" w:styleId="Hyperlink">
    <w:name w:val="Hyperlink"/>
    <w:basedOn w:val="DefaultParagraphFont"/>
    <w:uiPriority w:val="99"/>
    <w:unhideWhenUsed w:val="1"/>
    <w:rsid w:val="00DD1610"/>
    <w:rPr>
      <w:color w:val="467886" w:themeColor="hyperlink"/>
      <w:u w:val="single"/>
    </w:rPr>
  </w:style>
  <w:style w:type="character" w:styleId="UnresolvedMention">
    <w:name w:val="Unresolved Mention"/>
    <w:basedOn w:val="DefaultParagraphFont"/>
    <w:uiPriority w:val="99"/>
    <w:semiHidden w:val="1"/>
    <w:unhideWhenUsed w:val="1"/>
    <w:rsid w:val="00DD1610"/>
    <w:rPr>
      <w:color w:val="605e5c"/>
      <w:shd w:color="auto" w:fill="e1dfdd" w:val="clear"/>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complaints-about-charities/complaints-about-charities" TargetMode="External"/><Relationship Id="rId10" Type="http://schemas.openxmlformats.org/officeDocument/2006/relationships/hyperlink" Target="https://www.legislation.gov.uk/ukpga/2018/12/contents" TargetMode="External"/><Relationship Id="rId13" Type="http://schemas.openxmlformats.org/officeDocument/2006/relationships/footer" Target="footer1.xml"/><Relationship Id="rId12" Type="http://schemas.openxmlformats.org/officeDocument/2006/relationships/hyperlink" Target="https://assets.publishing.service.gov.uk/media/5a7c99d0e5274a7b7e3218a0/rs11tex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shropshiresupportsrefugees.co.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5a7c99d0e5274a7b7e3218a0/rs11text.pdf" TargetMode="External"/><Relationship Id="rId2" Type="http://schemas.openxmlformats.org/officeDocument/2006/relationships/hyperlink" Target="https://www.gov.uk/government/publications/complaints-about-charities/complaints-about-cha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5HJeaucaHFMoLUe/1vEBKi1Tg==">CgMxLjAyCWguMnAyY3NyeTIJaC4xNDduMnpyOAByITFSemlFSVBxNjFNMWljSHpXbFN0a0VFcHZiMnZIaDhUYQ==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2025-01-14T13:51:00Z</dcterms:created>
  <dc:creator>amanda Jones</dc:creator>
</cp:coreProperties>
</file>